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§2341. Regional planning and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Regional planning and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§2341. REGIONAL PLANNING AND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