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§2551. Warrant or notice for city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Warrant or notice for city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§2551. WARRANT OR NOTICE FOR CITY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