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Residency requirement; ordinances and collective bargaining</w:t>
      </w:r>
    </w:p>
    <w:p>
      <w:pPr>
        <w:jc w:val="both"/>
        <w:spacing w:before="100" w:after="100"/>
        <w:ind w:start="360"/>
        <w:ind w:firstLine="360"/>
      </w:pPr>
      <w:r>
        <w:rPr/>
      </w:r>
      <w:r>
        <w:rPr/>
      </w:r>
      <w:r>
        <w:t xml:space="preserve">A municipality may not enact any ordinance which requires employees to reside within the boundaries of the municipality as a condition of employment, nor may collective bargaining agreements contain these strict requirements.  A municipality may negotiate collective bargaining agreements or, if the municipality does not engage in collective bargaining, enact ordinances that require employees to reside within a specified distance or a specific response time of a facility where those provisions represent a legitimate job requirement, and provided that the ordinances do not apply to employees already employed when the ordinance takes effect.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section applies only to public employees, as defined in </w:t>
      </w:r>
      <w:r>
        <w:t>Title 26, section 962,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§2703. Residency requirement; ordinances and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Residency requirement; ordinances and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§2703. RESIDENCY REQUIREMENT; ORDINANCES AND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