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 Appointment of temporary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Appointment of temporary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§271. APPOINTMENT OF TEMPORARY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