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Adoption of codes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Adoption of codes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§3003. ADOPTION OF CODES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