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3264</w:t>
        <w:t xml:space="preserve">.  </w:t>
      </w:r>
      <w:r>
        <w:rPr>
          <w:b/>
        </w:rPr>
        <w:t xml:space="preserve">Park commissioners</w:t>
      </w:r>
    </w:p>
    <w:p>
      <w:pPr>
        <w:jc w:val="both"/>
        <w:spacing w:before="100" w:after="0"/>
        <w:ind w:start="360"/>
        <w:ind w:firstLine="360"/>
      </w:pPr>
      <w:r>
        <w:rPr>
          <w:b/>
        </w:rPr>
        <w:t>1</w:t>
        <w:t xml:space="preserve">.  </w:t>
      </w:r>
      <w:r>
        <w:rPr>
          <w:b/>
        </w:rPr>
        <w:t xml:space="preserve">Park commissioners; appointment.</w:t>
        <w:t xml:space="preserve"> </w:t>
      </w:r>
      <w:r>
        <w:t xml:space="preserve"> </w:t>
      </w:r>
      <w:r>
        <w:t xml:space="preserve">Notwithstanding </w:t>
      </w:r>
      <w:r>
        <w:t>section 3261</w:t>
      </w:r>
      <w:r>
        <w:t xml:space="preserve">, municipalities may elect or appoint 5 park commissioners, initially to hold office for one, 2, 3, 4 and 5 years, respectively.  Their successors shall be appointed for terms of 5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park commissioners shall:</w:t>
      </w:r>
    </w:p>
    <w:p>
      <w:pPr>
        <w:jc w:val="both"/>
        <w:spacing w:before="100" w:after="0"/>
        <w:ind w:start="720"/>
      </w:pPr>
      <w:r>
        <w:rPr/>
        <w:t>A</w:t>
        <w:t xml:space="preserve">.  </w:t>
      </w:r>
      <w:r>
        <w:rPr/>
      </w:r>
      <w:r>
        <w:t xml:space="preserve">Have the care and superintendence of the public parks;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Subject to the approval of the municipal officers, direct the expenditure of all money appropriated or available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§3264. Park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§3264. Park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§3264. PARK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