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Preexisting drains</w:t>
      </w:r>
    </w:p>
    <w:p>
      <w:pPr>
        <w:jc w:val="both"/>
        <w:spacing w:before="100" w:after="100"/>
        <w:ind w:start="360"/>
        <w:ind w:firstLine="360"/>
      </w:pPr>
      <w:r>
        <w:rPr/>
      </w:r>
      <w:r>
        <w:rPr/>
      </w:r>
      <w:r>
        <w:t xml:space="preserve">All drains previously made at a municipality's expense shall be maintained, managed, controlled and entered the same as if made under this chapter and </w:t>
      </w:r>
      <w:r>
        <w:t>Title 23, section 3251</w:t>
      </w:r>
      <w:r>
        <w:t xml:space="preserve">, subject to the rights that private persons have in those drains.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§3401. Preexisting drains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Preexisting drains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§3401. PREEXISTING DRAINS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