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 Service charges for sewage or storm water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Service charges for sewage or storm water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§3406. SERVICE CHARGES FOR SEWAGE OR STORM WATER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