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3784</w:t>
        <w:t xml:space="preserve">.  </w:t>
      </w:r>
      <w:r>
        <w:rPr>
          <w:b/>
        </w:rPr>
        <w:t xml:space="preserve">Violations and penalties</w:t>
      </w:r>
    </w:p>
    <w:p>
      <w:pPr>
        <w:jc w:val="both"/>
        <w:spacing w:before="100" w:after="100"/>
        <w:ind w:start="360"/>
        <w:ind w:firstLine="360"/>
      </w:pPr>
      <w:r>
        <w:rPr/>
      </w:r>
      <w:r>
        <w:rPr/>
      </w:r>
      <w:r>
        <w:t xml:space="preserve">Notwithstanding </w:t>
      </w:r>
      <w:r>
        <w:t>Title 17‑A, section 4‑A</w:t>
      </w:r>
      <w:r>
        <w:t xml:space="preserve">, any licensee under </w:t>
      </w:r>
      <w:r>
        <w:t>section 3781</w:t>
      </w:r>
      <w:r>
        <w:t xml:space="preserve">, who fails to comply with that section, or any person who conducts such a disposal sale without first having obtained a license, is guilty of a Class E crime and shall be punished by a fine of not more than $100 or by imprisonment for not more than 30 days, or both.  Each day on which a sale is conducted in violation of this subchapter constitutes a separate offense.  In addition to the penalties set forth, the Superior Court has jurisdiction, upon the complaint of any person, to enjoin any sale, or other acts, being performed in violation of </w:t>
      </w:r>
      <w:r>
        <w:t>section 3781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§3784.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§3784.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