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§3836. Damage to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§3836. Damage to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§3836. DAMAGE TO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