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4153</w:t>
        <w:t xml:space="preserve">.  </w:t>
      </w:r>
      <w:r>
        <w:rPr>
          <w:b/>
        </w:rPr>
        <w:t xml:space="preserve">Effect on bylaws or ordinances</w:t>
      </w:r>
    </w:p>
    <w:p>
      <w:pPr>
        <w:jc w:val="both"/>
        <w:spacing w:before="100" w:after="100"/>
        <w:ind w:start="360"/>
        <w:ind w:firstLine="360"/>
      </w:pPr>
      <w:r>
        <w:rPr/>
      </w:r>
      <w:r>
        <w:rPr/>
      </w:r>
      <w:r>
        <w:t xml:space="preserve">Any bylaw or ordinance in effect in any municipality on August 6, 1949 is not affected in any way by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§4153. Effect on bylaws or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§4153. Effect on bylaws or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§4153. EFFECT ON BYLAWS OR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