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4162</w:t>
        <w:t xml:space="preserve">.  </w:t>
      </w:r>
      <w:r>
        <w:rPr>
          <w:b/>
        </w:rPr>
        <w:t xml:space="preserve">Standards; equipment</w:t>
      </w:r>
    </w:p>
    <w:p>
      <w:pPr>
        <w:jc w:val="both"/>
        <w:spacing w:before="100" w:after="100"/>
        <w:ind w:start="360"/>
        <w:ind w:firstLine="360"/>
      </w:pPr>
      <w:r>
        <w:rPr/>
      </w:r>
      <w:r>
        <w:rPr/>
      </w:r>
      <w:r>
        <w:t xml:space="preserve">All electrical equipment installed or used must be reasonably safe to persons and property and must comply with the applicable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Conformity of electrical equipment with applicable standards of Underwriters' Laboratories, Inc. is prima facie evidence that the equipment is reasonably safe to persons and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Tests of special wiring.</w:t>
        <w:t xml:space="preserve"> </w:t>
      </w:r>
      <w:r>
        <w:t xml:space="preserve"> </w:t>
      </w:r>
      <w:r>
        <w:t xml:space="preserve">The Commissioner of Public Safety may authorize installations of special wiring to obtain field experience under controlled conditions in territory where electrical inspection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§4162. Standards;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§4162. Standards;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§4162. STANDARDS;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