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Service center community</w:t>
      </w:r>
    </w:p>
    <w:p>
      <w:pPr>
        <w:jc w:val="both"/>
        <w:spacing w:before="100" w:after="100"/>
        <w:ind w:start="360"/>
        <w:ind w:firstLine="360"/>
      </w:pPr>
      <w:r>
        <w:rPr/>
      </w:r>
      <w:r>
        <w:rPr/>
      </w:r>
      <w:r>
        <w:t xml:space="preserve">Beginning in 2023, and every 5 years thereafter, the department shall classify the service center communities in the State, using the most recent data available, into no less than 4 categories based on a methodology established by rule. The department shall maintain a list of service center communities, by category, and the department and the Department of Economic and Community Development shall post the list on their respective publicly accessible websites.</w:t>
      </w:r>
      <w:r>
        <w:t xml:space="preserve">  </w:t>
      </w:r>
      <w:r xmlns:wp="http://schemas.openxmlformats.org/drawingml/2010/wordprocessingDrawing" xmlns:w15="http://schemas.microsoft.com/office/word/2012/wordml">
        <w:rPr>
          <w:rFonts w:ascii="Arial" w:hAnsi="Arial" w:cs="Arial"/>
          <w:sz w:val="22"/>
          <w:szCs w:val="22"/>
        </w:rPr>
        <w:t xml:space="preserve">[PL 2021, c. 754,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§4315. Service center community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Service center community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§4315. SERVICE CENTER COMMUNITY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