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§4354. Impact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Impact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§4354. IMPACT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