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4364</w:t>
        <w:t xml:space="preserve">.  </w:t>
      </w:r>
      <w:r>
        <w:rPr>
          <w:b/>
        </w:rPr>
        <w:t xml:space="preserve">Affordable housing density</w:t>
      </w:r>
    </w:p>
    <w:p>
      <w:pPr>
        <w:jc w:val="both"/>
        <w:spacing w:before="100" w:after="100"/>
        <w:ind w:start="360"/>
        <w:ind w:firstLine="360"/>
      </w:pPr>
      <w:r>
        <w:rPr/>
      </w:r>
      <w:r>
        <w:rPr/>
      </w:r>
      <w:r>
        <w:t xml:space="preserve">For an affordable housing development approved on or after the implementation date, a municipality with density requirements shall apply density requirements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192, §1 (AMD).]</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"affordable housing development" means:</w:t>
      </w:r>
    </w:p>
    <w:p>
      <w:pPr>
        <w:jc w:val="both"/>
        <w:spacing w:before="100" w:after="0"/>
        <w:ind w:start="720"/>
      </w:pPr>
      <w:r>
        <w:rPr/>
        <w:t>A</w:t>
        <w:t xml:space="preserve">.  </w:t>
      </w:r>
      <w:r>
        <w:rPr/>
      </w:r>
      <w:r>
        <w:t xml:space="preserve">For rental housing, a development in which a household whose income does not exceed 80% of the median income for the area as defined by the United States Department of Housing and Urban Development under the United States Housing Act of 1937, Public Law 75-412, 50 Stat. 888, Section 8, as amended, can afford 51% or more of the units in the development without spending more than 30% of the household's monthly income on housing costs; and</w:t>
      </w:r>
      <w:r>
        <w:t xml:space="preserve">  </w:t>
      </w:r>
      <w:r xmlns:wp="http://schemas.openxmlformats.org/drawingml/2010/wordprocessingDrawing" xmlns:w15="http://schemas.microsoft.com/office/word/2012/wordml">
        <w:rPr>
          <w:rFonts w:ascii="Arial" w:hAnsi="Arial" w:cs="Arial"/>
          <w:sz w:val="22"/>
          <w:szCs w:val="22"/>
        </w:rPr>
        <w:t xml:space="preserve">[PL 2023, c. 192, §2 (AMD).]</w:t>
      </w:r>
    </w:p>
    <w:p>
      <w:pPr>
        <w:jc w:val="both"/>
        <w:spacing w:before="100" w:after="0"/>
        <w:ind w:start="720"/>
      </w:pPr>
      <w:r>
        <w:rPr/>
        <w:t>B</w:t>
        <w:t xml:space="preserve">.  </w:t>
      </w:r>
      <w:r>
        <w:rPr/>
      </w:r>
      <w:r>
        <w:t xml:space="preserve">For owned housing, a development in which a household whose income does not exceed 120% of the median income for the area as defined by the United States Department of Housing and Urban Development under the United States Housing Act of 1937, Public Law 75-412, 50 Stat. 888, Section 8, as amended, can afford 51% or more of the units in the development without spending more than 30% of the household's monthly income on housing costs.</w:t>
      </w:r>
      <w:r>
        <w:t xml:space="preserve">  </w:t>
      </w:r>
      <w:r xmlns:wp="http://schemas.openxmlformats.org/drawingml/2010/wordprocessingDrawing" xmlns:w15="http://schemas.microsoft.com/office/word/2012/wordml">
        <w:rPr>
          <w:rFonts w:ascii="Arial" w:hAnsi="Arial" w:cs="Arial"/>
          <w:sz w:val="22"/>
          <w:szCs w:val="22"/>
        </w:rPr>
        <w:t xml:space="preserve">[PL 2023, c. 192,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 (AMD).]</w:t>
      </w:r>
    </w:p>
    <w:p>
      <w:pPr>
        <w:jc w:val="both"/>
        <w:spacing w:before="100" w:after="100"/>
        <w:ind w:start="360"/>
        <w:ind w:firstLine="360"/>
      </w:pPr>
      <w:r>
        <w:rPr>
          <w:b/>
        </w:rPr>
        <w:t>1-A</w:t>
        <w:t xml:space="preserve">.  </w:t>
      </w:r>
      <w:r>
        <w:rPr>
          <w:b/>
        </w:rPr>
        <w:t xml:space="preserve">Implementation date.</w:t>
        <w:t xml:space="preserve"> </w:t>
      </w:r>
      <w:r>
        <w:t xml:space="preserve"> </w:t>
      </w:r>
      <w:r>
        <w:t xml:space="preserve">For purposes of this section, "implementation date" means:</w:t>
      </w:r>
    </w:p>
    <w:p>
      <w:pPr>
        <w:jc w:val="both"/>
        <w:spacing w:before="100" w:after="0"/>
        <w:ind w:start="720"/>
      </w:pPr>
      <w:r>
        <w:rPr/>
        <w:t>A</w:t>
        <w:t xml:space="preserve">.  </w:t>
      </w:r>
      <w:r>
        <w:rPr/>
      </w:r>
      <w:r>
        <w:t xml:space="preserve">January 1, 2024 for municipalities for which ordinances may be enacted by the municipal officers without further action or approval by the voters of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2023, c. 192, §3 (NEW).]</w:t>
      </w:r>
    </w:p>
    <w:p>
      <w:pPr>
        <w:jc w:val="both"/>
        <w:spacing w:before="100" w:after="0"/>
        <w:ind w:start="720"/>
      </w:pPr>
      <w:r>
        <w:rPr/>
        <w:t>B</w:t>
        <w:t xml:space="preserve">.  </w:t>
      </w:r>
      <w:r>
        <w:rPr/>
      </w:r>
      <w:r>
        <w:t xml:space="preserve">July 1, 2024 for all other municipalities.</w:t>
      </w:r>
      <w:r>
        <w:t xml:space="preserve">  </w:t>
      </w:r>
      <w:r xmlns:wp="http://schemas.openxmlformats.org/drawingml/2010/wordprocessingDrawing" xmlns:w15="http://schemas.microsoft.com/office/word/2012/wordml">
        <w:rPr>
          <w:rFonts w:ascii="Arial" w:hAnsi="Arial" w:cs="Arial"/>
          <w:sz w:val="22"/>
          <w:szCs w:val="22"/>
        </w:rPr>
        <w:t xml:space="preserve">[PL 2023, c. 192,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§3 (NEW).]</w:t>
      </w:r>
    </w:p>
    <w:p>
      <w:pPr>
        <w:jc w:val="both"/>
        <w:spacing w:before="100" w:after="0"/>
        <w:ind w:start="360"/>
        <w:ind w:firstLine="360"/>
      </w:pPr>
      <w:r>
        <w:rPr>
          <w:b/>
        </w:rPr>
        <w:t>2</w:t>
        <w:t xml:space="preserve">.  </w:t>
      </w:r>
      <w:r>
        <w:rPr>
          <w:b/>
        </w:rPr>
        <w:t xml:space="preserve">Density requirements.</w:t>
        <w:t xml:space="preserve"> </w:t>
      </w:r>
      <w:r>
        <w:t xml:space="preserve"> </w:t>
      </w:r>
      <w:r>
        <w:t xml:space="preserve">A municipality shall allow an affordable housing development where multifamily dwellings are allowed to have a dwelling unit density of at least 2 1/2 times the base density that is otherwise allowed in that location and may not require more than 2 off-street parking spaces for every 3 units.  The development must be in a designated growth area of a municipality consistent with </w:t>
      </w:r>
      <w:r>
        <w:t>section 4349‑A, subsection 1, paragraph A</w:t>
      </w:r>
      <w:r>
        <w:t xml:space="preserve"> or </w:t>
      </w:r>
      <w:r>
        <w:t>B</w:t>
      </w:r>
      <w:r>
        <w:t xml:space="preserve"> or the development must be served by a public, special district or other centrally managed water system and a public, special district or other comparable sewer system.  The development must comply with minimum lot size requirements in accordance with </w:t>
      </w:r>
      <w:r>
        <w:t>Title 12, chapter 423‑A</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100"/>
        <w:ind w:start="360"/>
        <w:ind w:firstLine="360"/>
      </w:pPr>
      <w:r>
        <w:rPr>
          <w:b/>
        </w:rPr>
        <w:t>3</w:t>
        <w:t xml:space="preserve">.  </w:t>
      </w:r>
      <w:r>
        <w:rPr>
          <w:b/>
        </w:rPr>
        <w:t xml:space="preserve">Long-term affordability.</w:t>
        <w:t xml:space="preserve"> </w:t>
      </w:r>
      <w:r>
        <w:t xml:space="preserve"> </w:t>
      </w:r>
      <w:r>
        <w:t xml:space="preserve">Before granting final approval of an affordable housing development, including but not limited to issuing an occupancy permit, a municipality shall require that the owner of the affordable housing development have executed a restrictive covenant, recorded in the appropriate registry of deeds, for the benefit of and enforceable by a party acceptable to the municipality, to ensure that for at least 30 years after completion of construction:</w:t>
      </w:r>
    </w:p>
    <w:p>
      <w:pPr>
        <w:jc w:val="both"/>
        <w:spacing w:before="100" w:after="0"/>
        <w:ind w:start="720"/>
      </w:pPr>
      <w:r>
        <w:rPr/>
        <w:t>A</w:t>
        <w:t xml:space="preserve">.  </w:t>
      </w:r>
      <w:r>
        <w:rPr/>
      </w:r>
      <w:r>
        <w:t xml:space="preserve">For rental housing, occupancy of all of the units designated affordable in the development will remain limited to households at or below 80% of the local area median income at the time of initial occupancy; and</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B</w:t>
        <w:t xml:space="preserve">.  </w:t>
      </w:r>
      <w:r>
        <w:rPr/>
      </w:r>
      <w:r>
        <w:t xml:space="preserve">For owned housing, occupancy of all of the units designated affordable in the development will remain limited to households at or below 120% of the local area median income at the time of initial occupancy.</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§4 (AMD).]</w:t>
      </w:r>
    </w:p>
    <w:p>
      <w:pPr>
        <w:jc w:val="both"/>
        <w:spacing w:before="100" w:after="0"/>
        <w:ind w:start="360"/>
        <w:ind w:firstLine="360"/>
      </w:pPr>
      <w:r>
        <w:rPr>
          <w:b/>
        </w:rPr>
        <w:t>4</w:t>
        <w:t xml:space="preserve">.  </w:t>
      </w:r>
      <w:r>
        <w:rPr>
          <w:b/>
        </w:rPr>
        <w:t xml:space="preserve">Shoreland zoning.</w:t>
        <w:t xml:space="preserve"> </w:t>
      </w:r>
      <w:r>
        <w:t xml:space="preserve"> </w:t>
      </w:r>
      <w:r>
        <w:t xml:space="preserve">An affordable housing development must comply with shoreland zoning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100"/>
        <w:ind w:start="360"/>
        <w:ind w:firstLine="360"/>
      </w:pPr>
      <w:r>
        <w:rPr>
          <w:b/>
        </w:rPr>
        <w:t>5</w:t>
        <w:t xml:space="preserve">.  </w:t>
      </w:r>
      <w:r>
        <w:rPr>
          <w:b/>
        </w:rPr>
        <w:t xml:space="preserve">Water and wastewater.</w:t>
        <w:t xml:space="preserve"> </w:t>
      </w:r>
      <w:r>
        <w:t xml:space="preserve"> </w:t>
      </w:r>
      <w:r>
        <w:t xml:space="preserve">The owner of an affordable housing development shall provide written verification to the municipality that each unit of the housing development is connected to adequate water and wastewater services before the municipality may certify the development for occupancy. Written verification under this subsection must include:</w:t>
      </w:r>
    </w:p>
    <w:p>
      <w:pPr>
        <w:jc w:val="both"/>
        <w:spacing w:before="100" w:after="0"/>
        <w:ind w:start="720"/>
      </w:pPr>
      <w:r>
        <w:rPr/>
        <w:t>A</w:t>
        <w:t xml:space="preserve">.  </w:t>
      </w:r>
      <w:r>
        <w:rPr/>
      </w:r>
      <w:r>
        <w:t xml:space="preserve">If a housing unit is connected to a public, special district or other comparable sewer system, proof of adequate service to support any additional flow created by the unit and proof of payment for the connection to the sewer system;</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B</w:t>
        <w:t xml:space="preserve">.  </w:t>
      </w:r>
      <w:r>
        <w:rPr/>
      </w:r>
      <w:r>
        <w:t xml:space="preserve">If a housing unit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C</w:t>
        <w:t xml:space="preserve">.  </w:t>
      </w:r>
      <w:r>
        <w:rPr/>
      </w:r>
      <w:r>
        <w:t xml:space="preserve">If a housing unit is connected to a public, special district or other centrally managed water system, proof of adequate service to support any additional flow created by the unit, proof of payment for the connection and the volume and supply of water required for the unit; and</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D</w:t>
        <w:t xml:space="preserve">.  </w:t>
      </w:r>
      <w:r>
        <w:rPr/>
      </w:r>
      <w:r>
        <w:t xml:space="preserve">If a housing unit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6</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§5 (AMD).]</w:t>
      </w:r>
    </w:p>
    <w:p>
      <w:pPr>
        <w:jc w:val="both"/>
        <w:spacing w:before="100" w:after="0"/>
        <w:ind w:start="360"/>
        <w:ind w:firstLine="360"/>
      </w:pPr>
      <w:r>
        <w:rPr>
          <w:b/>
        </w:rPr>
        <w:t>7</w:t>
        <w:t xml:space="preserve">.  </w:t>
      </w:r>
      <w:r>
        <w:rPr>
          <w:b/>
        </w:rPr>
        <w:t xml:space="preserve">Restrictive covenants.</w:t>
        <w:t xml:space="preserve"> </w:t>
      </w:r>
      <w:r>
        <w:t xml:space="preserve"> </w:t>
      </w:r>
      <w:r>
        <w:t xml:space="preserve">This section may not be construed to interfere with, abrogate or annul the validity or enforceability of any valid and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Economic and Community Development shall adopt rules to administer and enforce this section.  The department shall consult with the Department of Agriculture, Conservation and Forestry in adopting rules pursuant to this subsection. The rules must include criteria for a municipality to use in calculating housing costs.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9</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 PL 2023, c. 192, §§1-5 (AMD). PL 2023, c. 264,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§4364. Affordable housing density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§4364. Affordable housing density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§4364. AFFORDABLE HOUSING DENSITY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