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4454</w:t>
        <w:t xml:space="preserve">.  </w:t>
      </w:r>
      <w:r>
        <w:rPr>
          <w:b/>
        </w:rPr>
        <w:t xml:space="preserve">Municipal regulation</w:t>
      </w:r>
    </w:p>
    <w:p>
      <w:pPr>
        <w:jc w:val="both"/>
        <w:spacing w:before="100" w:after="100"/>
        <w:ind w:start="360"/>
        <w:ind w:firstLine="360"/>
      </w:pPr>
      <w:r>
        <w:rPr/>
      </w:r>
      <w:r>
        <w:rPr/>
      </w:r>
      <w:r>
        <w:t xml:space="preserve">Pursuant to the provisions of this subchapter, a municipality may adopt an ordinance under its home rule authority to regulate water level regimes and minimum flow requirements for impounded bodies of water and dams that are entirely within its corporate boundary.</w:t>
      </w:r>
      <w:r>
        <w:t xml:space="preserve">  </w:t>
      </w:r>
      <w:r xmlns:wp="http://schemas.openxmlformats.org/drawingml/2010/wordprocessingDrawing" xmlns:w15="http://schemas.microsoft.com/office/word/2012/wordml">
        <w:rPr>
          <w:rFonts w:ascii="Arial" w:hAnsi="Arial" w:cs="Arial"/>
          <w:sz w:val="22"/>
          <w:szCs w:val="22"/>
        </w:rPr>
        <w:t xml:space="preserve">[PL 1993,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§4454. Municipal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§4454. Municipal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§4454. MUNICIPAL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