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§4456. Interlocal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Interlocal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§4456. INTERLOCAL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