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4457</w:t>
        <w:t xml:space="preserve">.  </w:t>
      </w:r>
      <w:r>
        <w:rPr>
          <w:b/>
        </w:rPr>
        <w:t xml:space="preserve">Assumption of authority</w:t>
      </w:r>
    </w:p>
    <w:p>
      <w:pPr>
        <w:jc w:val="both"/>
        <w:spacing w:before="100" w:after="100"/>
        <w:ind w:start="360"/>
        <w:ind w:firstLine="360"/>
      </w:pPr>
      <w:r>
        <w:rPr/>
      </w:r>
      <w:r>
        <w:rPr/>
      </w:r>
      <w:r>
        <w:t xml:space="preserve">Immediately upon the commissioner's approval of an ordinance submitted under this subchapter, all powers and duties of the Commissioner of Environmental Protection set forth in </w:t>
      </w:r>
      <w:r>
        <w:t>Title 38, chapter 5, subchapter 1, article 3‑A</w:t>
      </w:r>
      <w:r>
        <w:t xml:space="preserve">, vest 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§4457. Assumption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§4457. Assumption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§4457. ASSUMPTION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