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4468</w:t>
        <w:t xml:space="preserve">.  </w:t>
      </w:r>
      <w:r>
        <w:rPr>
          <w:b/>
        </w:rPr>
        <w:t xml:space="preserve">Commission budget; financing; staff</w:t>
      </w:r>
    </w:p>
    <w:p>
      <w:pPr>
        <w:jc w:val="both"/>
        <w:spacing w:before="100" w:after="100"/>
        <w:ind w:start="360"/>
        <w:ind w:firstLine="360"/>
      </w:pPr>
      <w:r>
        <w:rPr/>
      </w:r>
      <w:r>
        <w:rPr/>
      </w:r>
      <w:r>
        <w:t xml:space="preserve">The commission shall prepare and submit to the commissioner a biennial budget sufficient to cover its operating and other expenses.  Provided the commission continues to satisfy the requirements of </w:t>
      </w:r>
      <w:r>
        <w:t>section 4463</w:t>
      </w:r>
      <w:r>
        <w:t xml:space="preserve">, the commissioner shall request funds to match the funds raised by the commission.  In no event may the state contribution exceed $25,000 for any one commission in any year.  The commission may accept contributions of any type from any source to assist it in carrying out its assigned tasks, and make any agreements with respect to the administration of those funds, not inconsistent with the purpose of this law, that are required as conditions precedent to receiving the funds, federal or otherwise.  Staff of the commission are not considered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§4468. Commission budget; financing;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§4468. Commission budget; financing;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§4468. COMMISSION BUDGET; FINANCING;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