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4483</w:t>
        <w:t xml:space="preserve">.  </w:t>
      </w:r>
      <w:r>
        <w:rPr>
          <w:b/>
        </w:rPr>
        <w:t xml:space="preserve">Appeal of significant municipal land use decision to Law Court</w:t>
      </w:r>
    </w:p>
    <w:p>
      <w:pPr>
        <w:jc w:val="both"/>
        <w:spacing w:before="100" w:after="100"/>
        <w:ind w:start="360"/>
        <w:ind w:firstLine="360"/>
      </w:pPr>
      <w:r>
        <w:rPr/>
      </w:r>
      <w:r>
        <w:rPr/>
      </w:r>
      <w:r>
        <w:t xml:space="preserve">Any party to a review proceeding under this chapter may obtain review of a final judgment by appeal to the Supreme Judicial Court, sitting as the Law Court.  The appeal must be taken as in other civil cases, except that upon the request of any party, and in the interests of justice, the Supreme Judicial Court may expedite the briefing schedule.</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§4483. Appeal of significant municipal land use decision to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§4483. Appeal of significant municipal land use decision to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§4483. APPEAL OF SIGNIFICANT MUNICIPAL LAND USE DECISION TO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