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Communications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Communications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§453. COMMUNICATIONS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