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also contributing to an increasing class of working poor people and creating severe hardships for a significant number of the State's citizens.  Municipalities feel the impact of the affordable housing shortage and find it difficult to deal with the problem with their inadequate resources.  By working together, sharing resources and using more comprehensive measures, the State and its municipalities can more effectively address the shortage of affordable housing and the many other problems stemming from this housing shortage.</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