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§4761. Temporary Housing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Temporary Housing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§4761. TEMPORARY HOUSING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