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4805</w:t>
        <w:t xml:space="preserve">.  </w:t>
      </w:r>
      <w:r>
        <w:rPr>
          <w:b/>
        </w:rPr>
        <w:t xml:space="preserve">Provisions of bonds</w:t>
      </w:r>
    </w:p>
    <w:p>
      <w:pPr>
        <w:jc w:val="both"/>
        <w:spacing w:before="100" w:after="100"/>
        <w:ind w:start="360"/>
        <w:ind w:firstLine="360"/>
      </w:pPr>
      <w:r>
        <w:rPr/>
      </w:r>
      <w:r>
        <w:rPr/>
      </w:r>
      <w:r>
        <w:t xml:space="preserve">The indebtedness created by an institutional loan to a participating financial institution is a general obligation of that participating financial institution and shall bear such date or dates, shall mature at such time or times, shall be evidenced by such bond, note or other certificate of indebtedness, may be subject to prepayment with or without penalty, and shall contain any other provisions consistent with this section and with the rules established under this section by the Maine State Housing Authority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§4805. Provisions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§4805. Provisions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§4805. PROVISIONS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