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4909</w:t>
        <w:t xml:space="preserve">.  </w:t>
      </w:r>
      <w:r>
        <w:rPr>
          <w:b/>
        </w:rPr>
        <w:t xml:space="preserve">Mortgages eligible for investment</w:t>
      </w:r>
    </w:p>
    <w:p>
      <w:pPr>
        <w:jc w:val="both"/>
        <w:spacing w:before="100" w:after="100"/>
        <w:ind w:start="360"/>
        <w:ind w:firstLine="360"/>
      </w:pPr>
      <w:r>
        <w:rPr/>
      </w:r>
      <w:r>
        <w:rPr/>
      </w:r>
      <w:r>
        <w:t xml:space="preserve">All mortgages, bonds and obligations of the Maine State Housing Authority are made legal investments for all insurance companies, trust companies, banks, investment companies, savings banks, savings and loan associations, executors, trustees and other fiduciaries, pension or retirement funds.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§4909. Mortgages eligible for investment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§4909. Mortgages eligible for investment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§4909. MORTGAGES ELIGIBLE FOR INVESTMENT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