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Coordination and cooperation</w:t>
      </w:r>
    </w:p>
    <w:p>
      <w:pPr>
        <w:jc w:val="both"/>
        <w:spacing w:before="100" w:after="100"/>
        <w:ind w:start="360"/>
        <w:ind w:firstLine="360"/>
      </w:pPr>
      <w:r>
        <w:rPr/>
      </w:r>
      <w:r>
        <w:rPr/>
      </w:r>
      <w:r>
        <w:t xml:space="preserve">All state agencies and independent state agencies shall cooperate with the authority with respect to the implementation of this chapter.  Whenever possible, all state agencies and independent state agencies shall coordinate their resources and activities with those of the state authority to address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1991, c. 610,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§5006. Coordination and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Coordination and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§5006. COORDINATION AND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