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Bond issues</w:t>
      </w:r>
    </w:p>
    <w:p>
      <w:pPr>
        <w:jc w:val="both"/>
        <w:spacing w:before="100" w:after="100"/>
        <w:ind w:start="360"/>
        <w:ind w:firstLine="360"/>
      </w:pPr>
      <w:r>
        <w:rPr/>
      </w:r>
      <w:r>
        <w:rPr/>
      </w:r>
      <w:r>
        <w:t xml:space="preserve">The authority may issue bonds from time to time in its discretion to finance the undertaking of any urban renewal project under this chapter, including, but not limited to, the payment of principal and interest upon any advances for surveys and plans, and may issue refunding bonds for the payment or retirement of bonds previously issued by it.  The bonds must be made payable, as to both principal and interest, solely from the income, proceeds, revenues and funds of the authority derived from or held in connection with its undertaking and carrying out of urban renewal projects under this chapter, provided that payment of the bonds, both as to principal and interest, may be further secured by a pledge of any loan, grant or contribution from the Federal Government or other source, in aid of any urban renewal projects of the municipality under this chapter, and by a mortgage of any urban renewal projects, or any part of a project, title to which is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Not municipal indebtedness; not taxable.</w:t>
        <w:t xml:space="preserve"> </w:t>
      </w:r>
      <w:r>
        <w:t xml:space="preserve"> </w:t>
      </w:r>
      <w:r>
        <w:t xml:space="preserve">Bonds issued under this section do not constitute a municipal indebtedness within the meaning of any constitutional or statutory debt limitation or restriction, and are not subject to any other law or charter relating to the authorization, issuance or sale of bonds. Bonds issued under this chapter are declared to be issued for an essential public and governmental purpose and, together with interest on and income from the bonds, are exempt from all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make the following provisions:</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interest rate or rates of the bonds, not exceeding 6% per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at not less than par at public sales held after notice published in a newspaper having general circulation in the area of operation and in any other medium of publication that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Sold to the Federal Government at private sale at not less than par.</w:t>
      </w:r>
    </w:p>
    <w:p>
      <w:pPr>
        <w:jc w:val="both"/>
        <w:spacing w:before="100" w:after="0"/>
        <w:ind w:start="1080"/>
      </w:pPr>
      <w:r>
        <w:rPr/>
        <w:t>(</w:t>
        <w:t>1</w:t>
        <w:t xml:space="preserve">)  </w:t>
      </w:r>
      <w:r>
        <w:rPr/>
      </w:r>
      <w:r>
        <w:t xml:space="preserve">If less than all of the authorized principal amount of the bonds is sold to the Federal Government, the balance may be sold at private sale at not less than par at an interest cost to the municipality which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Signatures of outgoing officers; negoti- ability.</w:t>
        <w:t xml:space="preserve"> </w:t>
      </w:r>
      <w:r>
        <w:t xml:space="preserve"> </w:t>
      </w:r>
      <w:r>
        <w:t xml:space="preserve">If any of the officials of the authority whose signatures appear on any bonds or coupons issued under this chapter ceases to be an official before the bonds are delivered, those signatures are, nevertheless, valid for all purposes, the same as if the official had remained in office until the delivery.  Notwithstanding any contrary provision of any law,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Bond recitation; conclusive presumptions.</w:t>
        <w:t xml:space="preserve"> </w:t>
      </w:r>
      <w:r>
        <w:t xml:space="preserve"> </w:t>
      </w:r>
      <w:r>
        <w:t xml:space="preserve">In any action or proceeding involving the validity or enforceability of any bond issued under this chapter or the security for that bond, any such bond reciting in substance that it has been issued by the authority in connection with an urban renewal project is conclusively deemed to have been issued for that purpose and the urban renewal project is conclusively deemed to have been planned, located and carried out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personal liability; not debt of State or municipality.</w:t>
        <w:t xml:space="preserve"> </w:t>
      </w:r>
      <w:r>
        <w:t xml:space="preserve"> </w:t>
      </w:r>
      <w:r>
        <w:t xml:space="preserve">Neither the trustees of the authority nor any person executing the bonds may be liable personally on the bonds by reason of the issuance of the bonds.  The bonds and other obligations of the authority are not a debt of the municipality nor the State, and neither the municipality nor the State may be liable on the bonds. The bonds and obligations shall so state on their face.  The bonds or obligations may not, in any case, be payable out of any funds or properties other than those of the authority acquired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§5111. Bond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Bond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§5111. BOND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