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Capital improvement districts; public hearing; notice; referendum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§5213. CAPITAL IMPROVEMENT DISTRICTS; PUBLIC HEARING; NOTICE; REFERENDUM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