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§5225. Project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§5225. Project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§5225. PROJECT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