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5227</w:t>
        <w:t xml:space="preserve">.  </w:t>
      </w:r>
      <w:r>
        <w:rPr>
          <w:b/>
        </w:rPr>
        <w:t xml:space="preserve">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or plantation may retain all or part of the tax increment revenues generated from the increased assessed value of a tax increment financing district for the purpose of financing the development program.  The amount of tax increment revenues to be retained is determined by designating the captured assessed value.  When a development program for a tax increment financing district is adopted, the municipal or plantation legislative body shall adopt a statement of the percentage of increased assessed value to be retained as captured assessed value in accordance with the development program.  The statement of percentage may establish a specific percentage or percentages or may describe a method or formula for determination of the percentage.  The municipal assessor or plantation assessor shall certify the amount of the captured assessed value to the municipality or plantation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On or after formation of a tax increment financing district, the assessor of the municipality or plantation in which it is located shall certify the original assessed value of the taxable property within the boundaries of the tax increment financing district.  Each year after the designation of a tax increment financing district, the municipal assessor or plantation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tax increment financing district shall pay real property taxes apportioned equally with property taxes paid elsewhere 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or plantation has designated captured assessed value under </w:t>
      </w:r>
      <w:r>
        <w:t>subsection 1</w:t>
      </w:r>
      <w:r>
        <w:t xml:space="preserve">, the municipality or plantation shall:</w:t>
      </w:r>
    </w:p>
    <w:p>
      <w:pPr>
        <w:jc w:val="both"/>
        <w:spacing w:before="100" w:after="0"/>
        <w:ind w:start="720"/>
      </w:pPr>
      <w:r>
        <w:rPr/>
        <w:t>A</w:t>
        <w:t xml:space="preserve">.  </w:t>
      </w:r>
      <w:r>
        <w:rPr/>
      </w:r>
      <w:r>
        <w:t xml:space="preserve">Establish a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or plantation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2011, c. 101, §20 (AMD).]</w:t>
      </w:r>
    </w:p>
    <w:p>
      <w:pPr>
        <w:jc w:val="both"/>
        <w:spacing w:before="100" w:after="0"/>
        <w:ind w:start="720"/>
      </w:pPr>
      <w:r>
        <w:rPr/>
        <w:t>B</w:t>
        <w:t xml:space="preserve">.  </w:t>
      </w:r>
      <w:r>
        <w:rPr/>
      </w:r>
      <w:r>
        <w:t xml:space="preserve">Annually set aside all tax increment revenues on captured assessed values and deposit all such revenues to the appropriate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5231</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Make transfers between development program fund accounts established under </w:t>
      </w:r>
      <w:r>
        <w:t>paragraph A</w:t>
      </w:r>
      <w:r>
        <w:t xml:space="preserve"> as required, provided that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Annually return to the municipal or plantation general fund any tax increment revenues remaining in the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or plantation, at any time, by vote of the municipal or plantation officers, may return to the municipal or plantation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2019, c. 607,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 (AMD).]</w:t>
      </w:r>
    </w:p>
    <w:p>
      <w:pPr>
        <w:jc w:val="both"/>
        <w:spacing w:before="100" w:after="100"/>
        <w:ind w:start="360"/>
        <w:ind w:firstLine="360"/>
      </w:pPr>
      <w:r>
        <w:rPr>
          <w:b/>
        </w:rPr>
        <w:t>4</w:t>
        <w:t xml:space="preserve">.  </w:t>
      </w:r>
      <w:r>
        <w:rPr>
          <w:b/>
        </w:rPr>
        <w:t xml:space="preserve">Remaining funds.</w:t>
        <w:t xml:space="preserve"> </w:t>
      </w:r>
      <w:r>
        <w:t xml:space="preserve"> </w:t>
      </w:r>
      <w:r>
        <w:t xml:space="preserve">This subsection governs remaining tax increment funds.</w:t>
      </w:r>
    </w:p>
    <w:p>
      <w:pPr>
        <w:jc w:val="both"/>
        <w:spacing w:before="100" w:after="0"/>
        <w:ind w:start="720"/>
      </w:pPr>
      <w:r>
        <w:rPr/>
        <w:t>A</w:t>
        <w:t xml:space="preserve">.  </w:t>
      </w:r>
      <w:r>
        <w:rPr/>
      </w:r>
      <w:r>
        <w:t xml:space="preserve">Any tax increment revenues remaining in the development sinking fund account established under </w:t>
      </w:r>
      <w:r>
        <w:t>subsection 3, paragraph A</w:t>
      </w:r>
      <w:r>
        <w:t xml:space="preserve"> on the date the development district ends may be retained in the development sinking fund account and used only to pay debt service on bonds and notes issued under </w:t>
      </w:r>
      <w:r>
        <w:t>section 5231</w:t>
      </w:r>
      <w:r>
        <w:t xml:space="preserve"> and the financial plan.</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B</w:t>
        <w:t xml:space="preserve">.  </w:t>
      </w:r>
      <w:r>
        <w:rPr/>
      </w:r>
      <w:r>
        <w:t xml:space="preserve">Any tax increment revenues remaining in the project cost account established under </w:t>
      </w:r>
      <w:r>
        <w:t>subsection 3, paragraph A</w:t>
      </w:r>
      <w:r>
        <w:t xml:space="preserve"> on the date the development district ends may be retained in the project cost account for a period of 3 years from the date the development district ends and used only to pay approved project costs that are described in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C</w:t>
        <w:t xml:space="preserve">.  </w:t>
      </w:r>
      <w:r>
        <w:rPr/>
      </w:r>
      <w:r>
        <w:t xml:space="preserve">Any tax increment revenues remaining in the development sinking fund account or the project cost account established under </w:t>
      </w:r>
      <w:r>
        <w:t>subsection 3, paragraph A</w:t>
      </w:r>
      <w:r>
        <w:t xml:space="preserve"> after the expiration of the time periods described in </w:t>
      </w:r>
      <w:r>
        <w:t>paragraphs A</w:t>
      </w:r>
      <w:r>
        <w:t xml:space="preserve"> and </w:t>
      </w:r>
      <w:r>
        <w:t>B</w:t>
      </w:r>
      <w:r>
        <w:t xml:space="preserve"> must be returned to the municipal or plantation general fund and a corresponding tax shift adjustment must be implemented with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§20 (AMD). PL 2019, c. 607, Pt. A, §1 (AMD). PL 2023, c. 203,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§5227.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§5227.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§5227.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