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5234</w:t>
        <w:t xml:space="preserve">.  </w:t>
      </w:r>
      <w:r>
        <w:rPr>
          <w:b/>
        </w:rPr>
        <w:t xml:space="preserve">Special provisions</w:t>
      </w:r>
    </w:p>
    <w:p>
      <w:pPr>
        <w:jc w:val="both"/>
        <w:spacing w:before="100" w:after="100"/>
        <w:ind w:start="360"/>
        <w:ind w:firstLine="360"/>
      </w:pPr>
      <w:r>
        <w:rPr/>
      </w:r>
      <w:r>
        <w:rPr/>
      </w:r>
      <w:r>
        <w:t xml:space="preserve">Notwithstanding the provisions of section 5223, subsection 1 and any other provision of law, in the case of investments exceeding $100,000,000 in shipyard facilities in districts authorized prior to June 30, 1999, revenues must be set aside and deposited by the municipality or plantation to the appropriate development program fund account established under </w:t>
      </w:r>
      <w:r>
        <w:t>section 5227, subsection 3</w:t>
      </w:r>
      <w:r>
        <w:t xml:space="preserve"> and expended to satisfy the obligations of the accounts without the need for further action by the municipality or plantation by appropriation or otherwise.  Unless otherwise provided by the municipality or plantation in connection with its approval of the district, tax increment revenues on all captured assessed value may not be taken into account for purposes of calculating any limitation on the municipality's or plantation's annual expenditures or appropriations, and the payment of tax increment revenues on captured assessed value is not subject to any limitation or restriction on the municipality's or plantation's authority or power to enter into contracts with respect to making payments for a term equal to the term of the district.</w:t>
      </w:r>
      <w:r>
        <w:t xml:space="preserve">  </w:t>
      </w:r>
      <w:r xmlns:wp="http://schemas.openxmlformats.org/drawingml/2010/wordprocessingDrawing" xmlns:w15="http://schemas.microsoft.com/office/word/2012/wordml">
        <w:rPr>
          <w:rFonts w:ascii="Arial" w:hAnsi="Arial" w:cs="Arial"/>
          <w:sz w:val="22"/>
          <w:szCs w:val="22"/>
        </w:rPr>
        <w:t xml:space="preserve">[PL 2011, c. 101,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§5234. Special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§5234. Special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§5234. SPECIAL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