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5267</w:t>
        <w:t xml:space="preserve">.  </w:t>
      </w:r>
      <w:r>
        <w:rPr>
          <w:b/>
        </w:rPr>
        <w:t xml:space="preserve">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20 years from the date of issue, or may enter into other types of financing transactions as it determines appropriate to finance all project costs needed to carry out the development program within the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5265</w:t>
      </w:r>
      <w:r>
        <w:t xml:space="preserve"> or received by the municipality are pledged for the payment of the activities described in the development program and must be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§5267.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§5267.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§5267.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