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5716</w:t>
        <w:t xml:space="preserve">.  </w:t>
      </w:r>
      <w:r>
        <w:rPr>
          <w:b/>
        </w:rPr>
        <w:t xml:space="preserve">Other prudent securities</w:t>
      </w:r>
    </w:p>
    <w:p>
      <w:pPr>
        <w:jc w:val="both"/>
        <w:spacing w:before="100" w:after="100"/>
        <w:ind w:start="360"/>
        <w:ind w:firstLine="360"/>
      </w:pPr>
      <w:r>
        <w:rPr/>
      </w:r>
      <w:r>
        <w:rPr/>
      </w:r>
      <w:r>
        <w:t xml:space="preserve">Municipalities may invest in such securities as the municipal officers consider to be sound, prudent investments, the making of which would not otherwise be legal but for this section.  Not more than 10% of the total assets of the permanent reserve fund, permanent trust fund or other permanent fund being invested may be invested in securities within the coverage of this section and investments in the stock of the State's financial institutions shall not be considered within this section.  This section does not limit the authority of municipalities to invest in securities specifically regulated by this article; rather, this section gives additional authority to invest 10% in any type of prudent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§5716. Other prudent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§5716. Other prudent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§5716. OTHER PRUDENT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