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Acceptance of state and federal grants</w:t>
      </w:r>
    </w:p>
    <w:p>
      <w:pPr>
        <w:jc w:val="both"/>
        <w:spacing w:before="100" w:after="100"/>
        <w:ind w:start="360"/>
        <w:ind w:firstLine="360"/>
      </w:pPr>
      <w:r>
        <w:rPr/>
      </w:r>
      <w:r>
        <w:rPr/>
      </w:r>
      <w:r>
        <w:t xml:space="preserve">A county may accept and expend grants.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Federal.</w:t>
        <w:t xml:space="preserve"> </w:t>
      </w:r>
      <w:r>
        <w:t xml:space="preserve"> </w:t>
      </w:r>
      <w:r>
        <w:t xml:space="preserve">Counties may apply for and accept and expend Federal Government grants for any purpose for which Federal Government grants are available to counties, either directly or through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w:t>
        <w:t xml:space="preserve"> </w:t>
      </w:r>
      <w:r>
        <w:t xml:space="preserve"> </w:t>
      </w:r>
      <w:r>
        <w:t xml:space="preserve">Counties may apply for and accept and expend state grants for any purpose for which state grants are available to counties, either directly or through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is not intended to increase, expand or broaden the powers of the counties or to apply to the general revenue sharing funds of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 Acceptance of state and federal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Acceptance of state and federal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§703. ACCEPTANCE OF STATE AND FEDERAL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