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w:t>
        <w:t xml:space="preserve">.  </w:t>
      </w:r>
      <w:r>
        <w:rPr>
          <w:b/>
        </w:rPr>
        <w:t xml:space="preserve">Planning and land use regulation</w:t>
      </w:r>
    </w:p>
    <w:p>
      <w:pPr>
        <w:jc w:val="both"/>
        <w:spacing w:before="100" w:after="100"/>
        <w:ind w:start="360"/>
        <w:ind w:firstLine="360"/>
      </w:pPr>
      <w:r>
        <w:rPr/>
      </w:r>
      <w:r>
        <w:rPr/>
      </w:r>
      <w:r>
        <w:t xml:space="preserve">Plantations are subject to </w:t>
      </w:r>
      <w:r>
        <w:t>chapter 187</w:t>
      </w:r>
      <w:r>
        <w:t xml:space="preserve"> regarding planning and land use powers and duties in the same manner as a town or city, except as otherwise provided in </w:t>
      </w:r>
      <w:r>
        <w:t>chapter 187</w:t>
      </w:r>
      <w:r>
        <w:t xml:space="preserve">.  Any planning or land use ordinance related to buildings and equipment must comply with </w:t>
      </w:r>
      <w:r>
        <w:t>section 7060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§54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§§A54,C10 (RPR).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§7059. Planning and land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 Planning and land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§7059. PLANNING AND LAND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