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§7202. Petition for deorganization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Petition for deorganization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§7202. PETITION FOR DEORGANIZATION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