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755</w:t>
        <w:t xml:space="preserve">.  </w:t>
      </w:r>
      <w:r>
        <w:rPr>
          <w:b/>
        </w:rPr>
        <w:t xml:space="preserve">Filing of county budget</w:t>
      </w:r>
    </w:p>
    <w:p>
      <w:pPr>
        <w:jc w:val="both"/>
        <w:spacing w:before="100" w:after="100"/>
        <w:ind w:start="360"/>
        <w:ind w:firstLine="360"/>
      </w:pPr>
      <w:r>
        <w:rPr/>
      </w:r>
      <w:r>
        <w:rPr/>
      </w:r>
      <w:r>
        <w:t xml:space="preserve">A copy of the approved final budget and subsequent budget amendments must be filed on forms approved by the Office of the State Auditor with the State Auditor who shall retain them for 3 years.</w:t>
      </w:r>
      <w:r>
        <w:t xml:space="preserve">  </w:t>
      </w:r>
      <w:r xmlns:wp="http://schemas.openxmlformats.org/drawingml/2010/wordprocessingDrawing" xmlns:w15="http://schemas.microsoft.com/office/word/2012/wordml">
        <w:rPr>
          <w:rFonts w:ascii="Arial" w:hAnsi="Arial" w:cs="Arial"/>
          <w:sz w:val="22"/>
          <w:szCs w:val="22"/>
        </w:rPr>
        <w:t xml:space="preserve">[PL 1991, c. 257 (NEW); PL 2013, c. 16, §10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257 (NEW). PL 2013, c. 16, §10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§755. Filing of county budget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§755. Filing of county budget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§755. FILING OF COUNTY BUDGET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