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891</w:t>
        <w:t xml:space="preserve">.  </w:t>
      </w:r>
      <w:r>
        <w:rPr>
          <w:b/>
        </w:rPr>
        <w:t xml:space="preserve">Budget; appropriations and approval</w:t>
      </w:r>
    </w:p>
    <w:p>
      <w:pPr>
        <w:jc w:val="both"/>
        <w:spacing w:before="100" w:after="100"/>
        <w:ind w:start="360"/>
        <w:ind w:firstLine="360"/>
      </w:pPr>
      <w:r>
        <w:rPr/>
      </w:r>
      <w:r>
        <w:rPr/>
      </w:r>
      <w:r>
        <w:t xml:space="preserve">Notwithstanding </w:t>
      </w:r>
      <w:r>
        <w:t>sections 2</w:t>
      </w:r>
      <w:r>
        <w:t xml:space="preserve">, </w:t>
      </w:r>
      <w:r>
        <w:t>701</w:t>
      </w:r>
      <w:r>
        <w:t xml:space="preserve"> and </w:t>
      </w:r>
      <w:r>
        <w:t>702</w:t>
      </w:r>
      <w:r>
        <w:t xml:space="preserve">, in Oxford County the county commissioners may appropriate money, according to a budget that must be prepared by the Oxford County Budget Advisory Committee.  A unanimous vote of the county commissioners is required to change the budget as presented by the Oxford County Budget Advisory Committee.</w:t>
      </w:r>
      <w:r>
        <w:t xml:space="preserve">  </w:t>
      </w:r>
      <w:r xmlns:wp="http://schemas.openxmlformats.org/drawingml/2010/wordprocessingDrawing" xmlns:w15="http://schemas.microsoft.com/office/word/2012/wordml">
        <w:rPr>
          <w:rFonts w:ascii="Arial" w:hAnsi="Arial" w:cs="Arial"/>
          <w:sz w:val="22"/>
          <w:szCs w:val="22"/>
        </w:rPr>
        <w:t xml:space="preserve">[PL 1991, c. 204,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§39 (RNU). PL 1991, c. 204,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§891. Budget; appropriations and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§891. Budget; appropriations and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§891. BUDGET; APPROPRIATIONS AND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