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County advisory organizations</w:t>
      </w:r>
    </w:p>
    <w:p>
      <w:pPr>
        <w:jc w:val="both"/>
        <w:spacing w:before="100" w:after="100"/>
        <w:ind w:start="360"/>
        <w:ind w:firstLine="360"/>
      </w:pPr>
      <w:r>
        <w:rPr/>
      </w:r>
      <w:r>
        <w:rPr/>
      </w:r>
      <w:r>
        <w:t xml:space="preserve">A county may raise or appropriate money to obtain the services of advisory organizations.  The Legislature recognizes the Maine County Commissioners' Association and the Maine Sheriffs' Association as nonprofit advisory organizations and declares these associations to be instrumentalities of their member counties with their assets upon their dissolution to be delivered to the Treasurer of State to be held in custody for the counties of the State.  An advisory organization may receive federal grants or contributions for their activities with respect to the solution of county problems.</w:t>
      </w:r>
      <w:r>
        <w:t xml:space="preserve">  </w:t>
      </w:r>
      <w:r xmlns:wp="http://schemas.openxmlformats.org/drawingml/2010/wordprocessingDrawing" xmlns:w15="http://schemas.microsoft.com/office/word/2012/wordml">
        <w:rPr>
          <w:rFonts w:ascii="Arial" w:hAnsi="Arial" w:cs="Arial"/>
          <w:sz w:val="22"/>
          <w:szCs w:val="22"/>
        </w:rPr>
        <w:t xml:space="preserve">[PL 2003,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§909. County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County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§909. COUNTY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