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CUMBERLAND COUNTY BUDGET</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 CUMBERLAND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CUMBERLAND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12. CUMBERLAND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