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5255</w:t>
        <w:t xml:space="preserve">.  </w:t>
      </w:r>
      <w:r>
        <w:rPr>
          <w:b/>
        </w:rPr>
        <w:t xml:space="preserve">State Auditor's report on financial matters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§5255. State Auditor's report on financial matters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§5255. State Auditor's report on financial matters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§5255. STATE AUDITOR'S REPORT ON FINANCIAL MATTERS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