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§6214. Tribal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Tribal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§6214. TRIBAL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