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7202</w:t>
        <w:t xml:space="preserve">.  </w:t>
      </w:r>
      <w:r>
        <w:rPr>
          <w:b/>
        </w:rPr>
        <w:t xml:space="preserve">Legislative findings and declaration of policy</w:t>
      </w:r>
    </w:p>
    <w:p>
      <w:pPr>
        <w:jc w:val="both"/>
        <w:spacing w:before="100" w:after="100"/>
        <w:ind w:start="360"/>
        <w:ind w:firstLine="360"/>
      </w:pPr>
      <w:r>
        <w:rPr/>
      </w:r>
      <w:r>
        <w:rPr/>
      </w:r>
      <w:r>
        <w:t xml:space="preserve">The Legislature finds and declares the following.</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The Mi'kmaq Nation, previously known as the Aroostook Band of Micmacs, as represented as of the effective date of this chapter by the Mi'kmaq Nation Tribal Council, is the sole successor in interest, as to lands within the United States, to the aboriginal entity generally known as the Mi'kmaq Nation that years ago claimed aboriginal title to certain lands in the State.</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The Mi'kmaq Nation was not referred to in the federal Maine Indian Claims Settlement Act of 1980, Public Law 96-420.</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There exist aboriginal lands in the State jointly used by the Mi'kmaq Nation and other tribes to which the Mi'kmaq Nation could have asserted aboriginal title but for the extinguishment of all such claims by the federal Maine Indian Claims Settlement Act of 1980, Public Law 96-420.</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In 1991, the United States formally recognized the Mi'kmaq Nation as a sovereign government to whom it owed a special trust relationship by enacting the federal Aroostook Band of Micmacs Settlement Act, Public Law 102-171.</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Section 6(d) of the federal Aroostook Band of Micmacs Settlement Act, Public Law 102-171, authorized the State of Maine and the Mi'kmaq Nation to execute agreements regarding the State's jurisdiction over lands owned by or held in trust for the benefit of the Mi'kmaq Nation or any citizen of the nation and provided the advance consent of the United States to amendments of the state Micmac Settlement Act in Public Law 1989, chapter 148 for this purpose.</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The State of Maine and the Mi'kmaq Nation agree and intend that this Act constitutes a jurisdictional agreement pursuant to Section 6(d) of the federal Aroostook Band of Micmacs Settlement Act, Public Law 102-171, that amends the state Micmac Settlement Act, originally enacted in Public Law 1989, chapter 148.</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365,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§7202. Legislative findings and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§7202. Legislative findings and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§7202. LEGISLATIVE FINDINGS AND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