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9. UNIFORM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