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1085</w:t>
        <w:t xml:space="preserve">.  </w:t>
      </w:r>
      <w:r>
        <w:rPr>
          <w:b/>
        </w:rPr>
        <w:t xml:space="preserve">Statement of dissolution</w:t>
      </w:r>
    </w:p>
    <w:p>
      <w:pPr>
        <w:jc w:val="both"/>
        <w:spacing w:before="100" w:after="0"/>
        <w:ind w:start="360"/>
        <w:ind w:firstLine="360"/>
      </w:pPr>
      <w:r>
        <w:rPr>
          <w:b/>
        </w:rPr>
        <w:t>1</w:t>
        <w:t xml:space="preserve">.  </w:t>
      </w:r>
      <w:r>
        <w:rPr>
          <w:b/>
        </w:rPr>
        <w:t xml:space="preserve">Filing of statement.</w:t>
        <w:t xml:space="preserve"> </w:t>
      </w:r>
      <w:r>
        <w:t xml:space="preserve"> </w:t>
      </w:r>
      <w:r>
        <w:t xml:space="preserve">After dissolution, a partner who has not wrongfully dissociated may file a statement of dissolution stating the name of the partnership and that the partnership has dissolved and is winding up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Deemed to have notice.</w:t>
        <w:t xml:space="preserve"> </w:t>
      </w:r>
      <w:r>
        <w:t xml:space="preserve"> </w:t>
      </w:r>
      <w:r>
        <w:t xml:space="preserve">For the purposes of </w:t>
      </w:r>
      <w:r>
        <w:t>sections 1031</w:t>
      </w:r>
      <w:r>
        <w:t xml:space="preserve"> and </w:t>
      </w:r>
      <w:r>
        <w:t>1084</w:t>
      </w:r>
      <w:r>
        <w:t xml:space="preserve">, a person not a partner is deemed to have notice of the dissolution and the limitation on the partners' authority as a result of the statement of dissolution 30 days after it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§1085. Statement of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§1085. Statement of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§1085. STATEMENT OF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