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1509</w:t>
        <w:t xml:space="preserve">.  </w:t>
      </w:r>
      <w:r>
        <w:rPr>
          <w:b/>
        </w:rPr>
        <w:t xml:space="preserve">Reservation of name</w:t>
      </w:r>
    </w:p>
    <w:p>
      <w:pPr>
        <w:jc w:val="both"/>
        <w:spacing w:before="100" w:after="0"/>
        <w:ind w:start="360"/>
        <w:ind w:firstLine="360"/>
      </w:pPr>
      <w:r>
        <w:rPr>
          <w:b/>
        </w:rPr>
        <w:t>1</w:t>
        <w:t xml:space="preserve">.  </w:t>
      </w:r>
      <w:r>
        <w:rPr>
          <w:b/>
        </w:rPr>
        <w:t xml:space="preserve">Reserve use of name.</w:t>
        <w:t xml:space="preserve"> </w:t>
      </w:r>
      <w:r>
        <w:t xml:space="preserve"> </w:t>
      </w:r>
      <w:r>
        <w:t xml:space="preserve">A person may reserve the exclusive use of a limited liability company name, including an assumed or fictitious name, by executing and delivering for filing an application to the office of the Secretary of State.  The application must set forth the name and address of the applicant and the name proposed to be reserved.  If the Secretary of State finds that the limited liability company name applied for is available, the Secretary of State shall reserve the name for the applicant's exclusive use for a period of 120 days.  The reservation may not be renewed, but after the expiration of the reservation, the same name may be reserved by the same or another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99, §5 (AMD).]</w:t>
      </w:r>
    </w:p>
    <w:p>
      <w:pPr>
        <w:jc w:val="both"/>
        <w:spacing w:before="100" w:after="0"/>
        <w:ind w:start="360"/>
        <w:ind w:firstLine="360"/>
      </w:pPr>
      <w:r>
        <w:rPr>
          <w:b/>
        </w:rPr>
        <w:t>2</w:t>
        <w:t xml:space="preserve">.  </w:t>
      </w:r>
      <w:r>
        <w:rPr>
          <w:b/>
        </w:rPr>
        <w:t xml:space="preserve">Transfer of reservation.</w:t>
        <w:t xml:space="preserve"> </w:t>
      </w:r>
      <w:r>
        <w:t xml:space="preserve"> </w:t>
      </w:r>
      <w:r>
        <w:t xml:space="preserve">The owner of a reserved limited liability company name under </w:t>
      </w:r>
      <w:r>
        <w:t>subsection 1</w:t>
      </w:r>
      <w:r>
        <w:t xml:space="preserve"> may transfer the reservation to another person by executing and delivering for filing to the office of the Secretary of State a notice of the transfer, signed by the transferor, that states the name and address of the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2013, c. 99,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§1509. Reservation of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§1509. Reservation of name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§1509. RESERVATION OF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