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§1531. FORMATION OF LIMITED LIABILITY COMPANY;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