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§1560. Nature of professional limited liability company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Nature of professional limited liability company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§1560. NATURE OF PROFESSIONAL LIMITED LIABILITY COMPANY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