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1597</w:t>
        <w:t xml:space="preserve">.  </w:t>
      </w:r>
      <w:r>
        <w:rPr>
          <w:b/>
        </w:rPr>
        <w:t xml:space="preserve">Right to wind up business and activities</w:t>
      </w:r>
    </w:p>
    <w:p>
      <w:pPr>
        <w:jc w:val="both"/>
        <w:spacing w:before="100" w:after="0"/>
        <w:ind w:start="360"/>
        <w:ind w:firstLine="360"/>
      </w:pPr>
      <w:r>
        <w:rPr>
          <w:b/>
        </w:rPr>
        <w:t>1</w:t>
        <w:t xml:space="preserve">.  </w:t>
      </w:r>
      <w:r>
        <w:rPr>
          <w:b/>
        </w:rPr>
        <w:t xml:space="preserve">Wind up activities.</w:t>
        <w:t xml:space="preserve"> </w:t>
      </w:r>
      <w:r>
        <w:t xml:space="preserve"> </w:t>
      </w:r>
      <w:r>
        <w:t xml:space="preserve">After dissolution, the remaining members, if any, and if none, a person appointed by all holders of the transferable interest last transferred by the last person to have been a member, may wind up the limited liability company's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Judicial supervision.</w:t>
        <w:t xml:space="preserve"> </w:t>
      </w:r>
      <w:r>
        <w:t xml:space="preserve"> </w:t>
      </w:r>
      <w:r>
        <w:t xml:space="preserve">The Superior Court may order judicial supervision of the winding up of a dissolved limited liability company, including the appointment of a person to wind up the limited liability company's activities:</w:t>
      </w:r>
    </w:p>
    <w:p>
      <w:pPr>
        <w:jc w:val="both"/>
        <w:spacing w:before="100" w:after="0"/>
        <w:ind w:start="720"/>
      </w:pPr>
      <w:r>
        <w:rPr/>
        <w:t>A</w:t>
        <w:t xml:space="preserve">.  </w:t>
      </w:r>
      <w:r>
        <w:rPr/>
      </w:r>
      <w:r>
        <w:t xml:space="preserve">On application of a member, if the applicant establishes good cause;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On the application of a transferee, if:</w:t>
      </w:r>
    </w:p>
    <w:p>
      <w:pPr>
        <w:jc w:val="both"/>
        <w:spacing w:before="100" w:after="0"/>
        <w:ind w:start="1080"/>
      </w:pPr>
      <w:r>
        <w:rPr/>
        <w:t>(</w:t>
        <w:t>1</w:t>
        <w:t xml:space="preserve">)  </w:t>
      </w:r>
      <w:r>
        <w:rPr/>
      </w:r>
      <w:r>
        <w:t xml:space="preserve">The limited liability company does not have any members; and</w:t>
      </w:r>
    </w:p>
    <w:p>
      <w:pPr>
        <w:jc w:val="both"/>
        <w:spacing w:before="100" w:after="0"/>
        <w:ind w:start="1080"/>
      </w:pPr>
      <w:r>
        <w:rPr/>
        <w:t>(</w:t>
        <w:t>2</w:t>
        <w:t xml:space="preserve">)  </w:t>
      </w:r>
      <w:r>
        <w:rPr/>
      </w:r>
      <w:r>
        <w:t xml:space="preserve">Within a reasonable time following the dissolution, a person has not been appointed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In connection with a proceeding under </w:t>
      </w:r>
      <w:r>
        <w:t>section 1595, subsection 1, paragraph E</w:t>
      </w:r>
      <w:r>
        <w:t xml:space="preserve"> or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§1597. Right to wind up business and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§1597. Right to wind up business and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§1597. RIGHT TO WIND UP BUSINESS AND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