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Noncomplying name of foreign limited liability company</w:t>
      </w:r>
    </w:p>
    <w:p>
      <w:pPr>
        <w:jc w:val="both"/>
        <w:spacing w:before="100" w:after="0"/>
        <w:ind w:start="360"/>
        <w:ind w:firstLine="360"/>
      </w:pPr>
      <w:r>
        <w:rPr>
          <w:b/>
        </w:rPr>
        <w:t>1</w:t>
        <w:t xml:space="preserve">.  </w:t>
      </w:r>
      <w:r>
        <w:rPr>
          <w:b/>
        </w:rPr>
        <w:t xml:space="preserve">Fictitious name.</w:t>
        <w:t xml:space="preserve"> </w:t>
      </w:r>
      <w:r>
        <w:t xml:space="preserve"> </w:t>
      </w:r>
      <w:r>
        <w:t xml:space="preserve">A foreign limited liability company whose name does not comply with </w:t>
      </w:r>
      <w:r>
        <w:t>section 1508</w:t>
      </w:r>
      <w:r>
        <w:t xml:space="preserve"> may not file a statement of foreign qualification until it adopts, for the purpose of conducting activities in this State, a fictitious name that complies with </w:t>
      </w:r>
      <w:r>
        <w:t>section 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Name change.</w:t>
        <w:t xml:space="preserve"> </w:t>
      </w:r>
      <w:r>
        <w:t xml:space="preserve"> </w:t>
      </w:r>
      <w:r>
        <w:t xml:space="preserve">If a foreign limited liability company to which a statement of foreign qualification has been filed changes its name to one that does not comply with </w:t>
      </w:r>
      <w:r>
        <w:t>section 1508</w:t>
      </w:r>
      <w:r>
        <w:t xml:space="preserve">, it may not thereafter conduct activities in this State until it complies with </w:t>
      </w:r>
      <w:r>
        <w:t>subsection 1</w:t>
      </w:r>
      <w:r>
        <w:t xml:space="preserve"> by filing an amended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Noncomplying name of foreign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§1624. NONCOMPLYING NAME OF FOREIGN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